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6E" w:rsidRDefault="0004774E">
      <w:pPr>
        <w:rPr>
          <w:rFonts w:hint="cs"/>
          <w:rtl/>
        </w:rPr>
      </w:pPr>
      <w:r w:rsidRPr="0004774E">
        <w:rPr>
          <w:rFonts w:cs="David" w:hint="cs"/>
          <w:b/>
          <w:bCs/>
          <w:sz w:val="32"/>
          <w:szCs w:val="32"/>
          <w:u w:val="single"/>
          <w:rtl/>
          <w:lang w:val="fr-FR"/>
        </w:rPr>
        <w:t>1. עמוס ה' 21- 27</w:t>
      </w:r>
      <w:bookmarkStart w:id="0" w:name="_GoBack"/>
      <w:r w:rsidR="006D7A9D">
        <w:rPr>
          <w:noProof/>
        </w:rPr>
        <w:drawing>
          <wp:inline distT="0" distB="0" distL="0" distR="0" wp14:anchorId="4336CD05" wp14:editId="0DC5A381">
            <wp:extent cx="5610225" cy="584835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846" cy="58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774E" w:rsidRDefault="0004774E">
      <w:pPr>
        <w:rPr>
          <w:rFonts w:hint="cs"/>
          <w:rtl/>
        </w:rPr>
      </w:pPr>
    </w:p>
    <w:p w:rsidR="0004774E" w:rsidRDefault="0004774E">
      <w:pPr>
        <w:rPr>
          <w:rFonts w:hint="cs"/>
          <w:rtl/>
        </w:rPr>
      </w:pPr>
    </w:p>
    <w:p w:rsidR="0004774E" w:rsidRDefault="0004774E">
      <w:pPr>
        <w:rPr>
          <w:rFonts w:hint="cs"/>
          <w:rtl/>
        </w:rPr>
      </w:pPr>
    </w:p>
    <w:p w:rsidR="0004774E" w:rsidRDefault="0004774E">
      <w:pPr>
        <w:rPr>
          <w:rFonts w:hint="cs"/>
          <w:rtl/>
        </w:rPr>
      </w:pPr>
    </w:p>
    <w:p w:rsidR="0004774E" w:rsidRDefault="0004774E">
      <w:pPr>
        <w:rPr>
          <w:rFonts w:hint="cs"/>
          <w:rtl/>
        </w:rPr>
      </w:pPr>
    </w:p>
    <w:p w:rsidR="0004774E" w:rsidRDefault="0004774E">
      <w:pPr>
        <w:rPr>
          <w:rFonts w:hint="cs"/>
          <w:rtl/>
        </w:rPr>
      </w:pPr>
    </w:p>
    <w:p w:rsidR="0004774E" w:rsidRDefault="0004774E">
      <w:pPr>
        <w:rPr>
          <w:rFonts w:hint="cs"/>
          <w:rtl/>
        </w:rPr>
      </w:pPr>
    </w:p>
    <w:p w:rsidR="0004774E" w:rsidRDefault="0004774E">
      <w:pPr>
        <w:rPr>
          <w:rFonts w:hint="cs"/>
          <w:rtl/>
        </w:rPr>
      </w:pPr>
    </w:p>
    <w:p w:rsidR="0004774E" w:rsidRDefault="0004774E">
      <w:pPr>
        <w:rPr>
          <w:rFonts w:hint="cs"/>
          <w:rtl/>
        </w:rPr>
      </w:pPr>
    </w:p>
    <w:p w:rsidR="0004774E" w:rsidRDefault="0004774E">
      <w:pPr>
        <w:rPr>
          <w:rFonts w:hint="cs"/>
          <w:rtl/>
        </w:rPr>
      </w:pPr>
    </w:p>
    <w:p w:rsidR="0004774E" w:rsidRPr="0004774E" w:rsidRDefault="0004774E">
      <w:pPr>
        <w:rPr>
          <w:rFonts w:cs="David"/>
          <w:b/>
          <w:bCs/>
          <w:vanish/>
          <w:sz w:val="32"/>
          <w:szCs w:val="32"/>
          <w:u w:val="single"/>
          <w:rtl/>
          <w:lang w:val="fr-FR"/>
          <w:specVanish/>
        </w:rPr>
      </w:pPr>
      <w:r w:rsidRPr="0004774E">
        <w:rPr>
          <w:rFonts w:cs="David" w:hint="cs"/>
          <w:b/>
          <w:bCs/>
          <w:vanish/>
          <w:sz w:val="32"/>
          <w:szCs w:val="32"/>
          <w:u w:val="single"/>
          <w:rtl/>
          <w:lang w:val="fr-FR"/>
        </w:rPr>
        <w:t xml:space="preserve">2. </w:t>
      </w:r>
    </w:p>
    <w:p w:rsidR="0004774E" w:rsidRPr="0004774E" w:rsidRDefault="0004774E" w:rsidP="0004774E">
      <w:pPr>
        <w:rPr>
          <w:rFonts w:cs="David" w:hint="cs"/>
          <w:b/>
          <w:bCs/>
          <w:sz w:val="32"/>
          <w:szCs w:val="32"/>
          <w:u w:val="single"/>
          <w:rtl/>
          <w:lang w:val="fr-FR"/>
        </w:rPr>
      </w:pPr>
      <w:r w:rsidRPr="0004774E">
        <w:rPr>
          <w:rFonts w:cs="David"/>
          <w:b/>
          <w:bCs/>
          <w:sz w:val="32"/>
          <w:szCs w:val="32"/>
          <w:u w:val="single"/>
          <w:rtl/>
          <w:lang w:val="fr-FR"/>
        </w:rPr>
        <w:t xml:space="preserve"> </w:t>
      </w:r>
      <w:r w:rsidRPr="0004774E">
        <w:rPr>
          <w:rFonts w:cs="David" w:hint="cs"/>
          <w:b/>
          <w:bCs/>
          <w:sz w:val="32"/>
          <w:szCs w:val="32"/>
          <w:u w:val="single"/>
          <w:rtl/>
          <w:lang w:val="fr-FR"/>
        </w:rPr>
        <w:t>2. עמוס ד' 1- 11</w:t>
      </w:r>
    </w:p>
    <w:p w:rsidR="0004774E" w:rsidRDefault="0004774E" w:rsidP="0004774E">
      <w:pPr>
        <w:rPr>
          <w:rFonts w:cs="David" w:hint="cs"/>
          <w:sz w:val="32"/>
          <w:szCs w:val="32"/>
          <w:rtl/>
          <w:lang w:val="fr-FR"/>
        </w:rPr>
      </w:pPr>
      <w:r>
        <w:rPr>
          <w:noProof/>
        </w:rPr>
        <w:drawing>
          <wp:inline distT="0" distB="0" distL="0" distR="0" wp14:anchorId="0AE0E258" wp14:editId="7BF8E0B1">
            <wp:extent cx="5274310" cy="6015564"/>
            <wp:effectExtent l="0" t="0" r="2540" b="444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1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2B3" w:rsidRDefault="005F52B3" w:rsidP="005F52B3">
      <w:pPr>
        <w:spacing w:line="360" w:lineRule="auto"/>
        <w:jc w:val="both"/>
        <w:rPr>
          <w:rFonts w:cs="David" w:hint="cs"/>
          <w:sz w:val="28"/>
          <w:szCs w:val="28"/>
          <w:rtl/>
        </w:rPr>
      </w:pPr>
    </w:p>
    <w:p w:rsidR="005F52B3" w:rsidRDefault="005F52B3" w:rsidP="005F52B3">
      <w:pPr>
        <w:spacing w:line="360" w:lineRule="auto"/>
        <w:jc w:val="both"/>
        <w:rPr>
          <w:rFonts w:cs="David" w:hint="cs"/>
          <w:sz w:val="28"/>
          <w:szCs w:val="28"/>
          <w:rtl/>
        </w:rPr>
      </w:pPr>
    </w:p>
    <w:p w:rsidR="005F52B3" w:rsidRDefault="005F52B3" w:rsidP="005F52B3">
      <w:pPr>
        <w:spacing w:line="360" w:lineRule="auto"/>
        <w:jc w:val="both"/>
        <w:rPr>
          <w:rFonts w:cs="David" w:hint="cs"/>
          <w:sz w:val="28"/>
          <w:szCs w:val="28"/>
          <w:rtl/>
        </w:rPr>
      </w:pPr>
    </w:p>
    <w:p w:rsidR="005F52B3" w:rsidRDefault="005F52B3" w:rsidP="005F52B3">
      <w:pPr>
        <w:spacing w:line="360" w:lineRule="auto"/>
        <w:jc w:val="both"/>
        <w:rPr>
          <w:rFonts w:cs="David" w:hint="cs"/>
          <w:sz w:val="28"/>
          <w:szCs w:val="28"/>
          <w:rtl/>
        </w:rPr>
      </w:pPr>
    </w:p>
    <w:p w:rsidR="005F52B3" w:rsidRDefault="005F52B3" w:rsidP="005F52B3">
      <w:pPr>
        <w:spacing w:line="360" w:lineRule="auto"/>
        <w:jc w:val="both"/>
        <w:rPr>
          <w:rFonts w:cs="David" w:hint="cs"/>
          <w:sz w:val="28"/>
          <w:szCs w:val="28"/>
          <w:rtl/>
        </w:rPr>
      </w:pPr>
    </w:p>
    <w:p w:rsidR="005F52B3" w:rsidRDefault="005F52B3" w:rsidP="005F52B3">
      <w:pPr>
        <w:spacing w:line="360" w:lineRule="auto"/>
        <w:jc w:val="both"/>
        <w:rPr>
          <w:rFonts w:cs="David" w:hint="cs"/>
          <w:sz w:val="28"/>
          <w:szCs w:val="28"/>
          <w:rtl/>
        </w:rPr>
      </w:pPr>
    </w:p>
    <w:p w:rsidR="005F52B3" w:rsidRDefault="005F52B3" w:rsidP="005F52B3">
      <w:pPr>
        <w:spacing w:line="360" w:lineRule="auto"/>
        <w:jc w:val="both"/>
        <w:rPr>
          <w:rFonts w:cs="David"/>
          <w:b/>
          <w:bCs/>
          <w:sz w:val="36"/>
          <w:szCs w:val="36"/>
          <w:u w:val="single"/>
        </w:rPr>
      </w:pP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36"/>
          <w:szCs w:val="36"/>
          <w:u w:val="single"/>
          <w:rtl/>
        </w:rPr>
        <w:t>3. קרא עמוס ד', 11-1; ה' 25-21.</w:t>
      </w:r>
    </w:p>
    <w:p w:rsidR="005F52B3" w:rsidRDefault="005F52B3" w:rsidP="005F52B3">
      <w:pPr>
        <w:spacing w:line="360" w:lineRule="auto"/>
        <w:jc w:val="both"/>
        <w:rPr>
          <w:rFonts w:cs="David"/>
          <w:sz w:val="28"/>
          <w:szCs w:val="28"/>
          <w:u w:val="single"/>
        </w:rPr>
      </w:pPr>
      <w:r>
        <w:rPr>
          <w:rFonts w:cs="David" w:hint="cs"/>
          <w:sz w:val="28"/>
          <w:szCs w:val="28"/>
          <w:rtl/>
        </w:rPr>
        <w:t>ענה על</w:t>
      </w:r>
      <w:r>
        <w:rPr>
          <w:rFonts w:cs="David" w:hint="cs"/>
          <w:sz w:val="28"/>
          <w:szCs w:val="28"/>
          <w:u w:val="single"/>
          <w:rtl/>
        </w:rPr>
        <w:t xml:space="preserve"> סעיף א- </w:t>
      </w:r>
      <w:r>
        <w:rPr>
          <w:rFonts w:cs="David" w:hint="cs"/>
          <w:b/>
          <w:bCs/>
          <w:sz w:val="28"/>
          <w:szCs w:val="28"/>
          <w:rtl/>
        </w:rPr>
        <w:t>חובה.</w:t>
      </w:r>
    </w:p>
    <w:p w:rsidR="005F52B3" w:rsidRDefault="005F52B3" w:rsidP="005F52B3">
      <w:pPr>
        <w:spacing w:line="360" w:lineRule="auto"/>
        <w:jc w:val="both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א. </w:t>
      </w:r>
    </w:p>
    <w:p w:rsidR="005F52B3" w:rsidRDefault="005F52B3" w:rsidP="005F52B3">
      <w:pPr>
        <w:spacing w:line="360" w:lineRule="auto"/>
        <w:jc w:val="both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(1) הנביא מבקר את "פרות הבשן".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ציין </w:t>
      </w:r>
      <w:r>
        <w:rPr>
          <w:rFonts w:cs="David" w:hint="cs"/>
          <w:sz w:val="28"/>
          <w:szCs w:val="28"/>
          <w:rtl/>
        </w:rPr>
        <w:t xml:space="preserve">מי הן פרות הבשן </w:t>
      </w:r>
      <w:r>
        <w:rPr>
          <w:rFonts w:cs="David" w:hint="cs"/>
          <w:b/>
          <w:bCs/>
          <w:sz w:val="28"/>
          <w:szCs w:val="28"/>
          <w:u w:val="single"/>
          <w:rtl/>
        </w:rPr>
        <w:t>והצג</w:t>
      </w:r>
      <w:r>
        <w:rPr>
          <w:rFonts w:cs="David" w:hint="cs"/>
          <w:sz w:val="28"/>
          <w:szCs w:val="28"/>
          <w:rtl/>
        </w:rPr>
        <w:t xml:space="preserve"> שני מעשים שלהן שאותם הנביא מבקר.  </w:t>
      </w:r>
      <w:r>
        <w:rPr>
          <w:rFonts w:cs="David" w:hint="cs"/>
          <w:b/>
          <w:bCs/>
          <w:sz w:val="28"/>
          <w:szCs w:val="28"/>
          <w:u w:val="single"/>
          <w:rtl/>
        </w:rPr>
        <w:t>בסס</w:t>
      </w:r>
      <w:r>
        <w:rPr>
          <w:rFonts w:cs="David" w:hint="cs"/>
          <w:sz w:val="28"/>
          <w:szCs w:val="28"/>
          <w:rtl/>
        </w:rPr>
        <w:t xml:space="preserve"> את דבריך על הכתוב.</w:t>
      </w:r>
    </w:p>
    <w:p w:rsidR="005F52B3" w:rsidRDefault="005F52B3" w:rsidP="005F52B3">
      <w:pPr>
        <w:spacing w:line="360" w:lineRule="auto"/>
        <w:jc w:val="both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(2)</w:t>
      </w:r>
      <w:r>
        <w:rPr>
          <w:rFonts w:cs="David" w:hint="cs"/>
          <w:sz w:val="28"/>
          <w:szCs w:val="28"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מהו</w:t>
      </w:r>
      <w:r>
        <w:rPr>
          <w:rFonts w:cs="David" w:hint="cs"/>
          <w:sz w:val="28"/>
          <w:szCs w:val="28"/>
          <w:rtl/>
        </w:rPr>
        <w:t xml:space="preserve"> עונשן של "פרות הבשן", </w:t>
      </w:r>
      <w:r>
        <w:rPr>
          <w:rFonts w:cs="David" w:hint="cs"/>
          <w:b/>
          <w:bCs/>
          <w:sz w:val="28"/>
          <w:szCs w:val="28"/>
          <w:u w:val="single"/>
          <w:rtl/>
        </w:rPr>
        <w:t>ולאיזה</w:t>
      </w:r>
      <w:r>
        <w:rPr>
          <w:rFonts w:cs="David" w:hint="cs"/>
          <w:sz w:val="28"/>
          <w:szCs w:val="28"/>
          <w:rtl/>
        </w:rPr>
        <w:t xml:space="preserve"> מאורע היסטורי בתולדות עם ישראל הוא קשור?</w:t>
      </w:r>
    </w:p>
    <w:p w:rsidR="005F52B3" w:rsidRDefault="005F52B3" w:rsidP="005F52B3">
      <w:pPr>
        <w:pStyle w:val="NormalWeb"/>
        <w:bidi/>
        <w:spacing w:before="0" w:beforeAutospacing="0" w:after="0" w:afterAutospacing="0" w:line="360" w:lineRule="auto"/>
        <w:ind w:left="-279" w:right="-279"/>
        <w:contextualSpacing/>
        <w:jc w:val="both"/>
        <w:rPr>
          <w:rFonts w:ascii="David" w:hAnsi="David" w:cs="David" w:hint="cs"/>
          <w:sz w:val="28"/>
          <w:szCs w:val="28"/>
          <w:rtl/>
        </w:rPr>
      </w:pPr>
    </w:p>
    <w:p w:rsidR="005F52B3" w:rsidRDefault="005F52B3" w:rsidP="005F52B3">
      <w:pPr>
        <w:spacing w:line="360" w:lineRule="auto"/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ענה על </w:t>
      </w:r>
      <w:r>
        <w:rPr>
          <w:rFonts w:ascii="David" w:hAnsi="David" w:cs="David" w:hint="cs"/>
          <w:sz w:val="28"/>
          <w:szCs w:val="28"/>
          <w:u w:val="single"/>
          <w:rtl/>
        </w:rPr>
        <w:t>שניים</w:t>
      </w:r>
      <w:r>
        <w:rPr>
          <w:rFonts w:ascii="David" w:hAnsi="David" w:cs="David" w:hint="cs"/>
          <w:sz w:val="28"/>
          <w:szCs w:val="28"/>
          <w:rtl/>
        </w:rPr>
        <w:t xml:space="preserve"> מהסעיפים ב -ד.</w:t>
      </w:r>
    </w:p>
    <w:p w:rsidR="005F52B3" w:rsidRDefault="005F52B3" w:rsidP="005F52B3">
      <w:pPr>
        <w:pStyle w:val="NormalWeb"/>
        <w:bidi/>
        <w:spacing w:before="0" w:beforeAutospacing="0" w:after="0" w:afterAutospacing="0" w:line="360" w:lineRule="auto"/>
        <w:ind w:right="-279"/>
        <w:contextualSpacing/>
        <w:jc w:val="both"/>
        <w:rPr>
          <w:rFonts w:cs="David" w:hint="cs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ב. </w:t>
      </w:r>
      <w:r>
        <w:rPr>
          <w:rFonts w:cs="David" w:hint="cs"/>
          <w:b/>
          <w:bCs/>
          <w:sz w:val="28"/>
          <w:szCs w:val="28"/>
          <w:u w:val="single"/>
          <w:rtl/>
        </w:rPr>
        <w:t>בפסוקים  6 – 11 בפרק ד'</w:t>
      </w:r>
      <w:r>
        <w:rPr>
          <w:rFonts w:cs="David" w:hint="cs"/>
          <w:sz w:val="28"/>
          <w:szCs w:val="28"/>
          <w:rtl/>
        </w:rPr>
        <w:t xml:space="preserve">  עמוס מציין את הפורענות שהביא ה' על ישראל. </w:t>
      </w:r>
    </w:p>
    <w:p w:rsidR="005F52B3" w:rsidRDefault="005F52B3" w:rsidP="005F52B3">
      <w:pPr>
        <w:pStyle w:val="NormalWeb"/>
        <w:bidi/>
        <w:spacing w:before="0" w:beforeAutospacing="0" w:after="0" w:afterAutospacing="0" w:line="360" w:lineRule="auto"/>
        <w:ind w:left="360" w:right="-279"/>
        <w:contextualSpacing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(1).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הצג</w:t>
      </w:r>
      <w:r>
        <w:rPr>
          <w:rFonts w:cs="David" w:hint="cs"/>
          <w:sz w:val="28"/>
          <w:szCs w:val="28"/>
          <w:rtl/>
        </w:rPr>
        <w:t xml:space="preserve"> שתיים מפורענויות אלה </w:t>
      </w:r>
      <w:r>
        <w:rPr>
          <w:rFonts w:cs="David" w:hint="cs"/>
          <w:b/>
          <w:bCs/>
          <w:sz w:val="28"/>
          <w:szCs w:val="28"/>
          <w:u w:val="single"/>
          <w:rtl/>
        </w:rPr>
        <w:t>ובסס</w:t>
      </w:r>
      <w:r>
        <w:rPr>
          <w:rFonts w:cs="David" w:hint="cs"/>
          <w:sz w:val="28"/>
          <w:szCs w:val="28"/>
          <w:rtl/>
        </w:rPr>
        <w:t xml:space="preserve"> דבריך על הכתוב. </w:t>
      </w:r>
    </w:p>
    <w:p w:rsidR="005F52B3" w:rsidRDefault="005F52B3" w:rsidP="005F52B3">
      <w:pPr>
        <w:pStyle w:val="NormalWeb"/>
        <w:bidi/>
        <w:spacing w:before="0" w:beforeAutospacing="0" w:after="0" w:afterAutospacing="0" w:line="360" w:lineRule="auto"/>
        <w:ind w:left="360" w:right="-279"/>
        <w:contextualSpacing/>
        <w:jc w:val="both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(2)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בתיאור הפורענויות יש משפט שחוזר חמש פעמים.  </w:t>
      </w:r>
      <w:r>
        <w:rPr>
          <w:rFonts w:cs="David" w:hint="cs"/>
          <w:b/>
          <w:bCs/>
          <w:sz w:val="28"/>
          <w:szCs w:val="28"/>
          <w:u w:val="single"/>
          <w:rtl/>
        </w:rPr>
        <w:t>ציין</w:t>
      </w:r>
      <w:r>
        <w:rPr>
          <w:rFonts w:cs="David" w:hint="cs"/>
          <w:sz w:val="28"/>
          <w:szCs w:val="28"/>
          <w:rtl/>
        </w:rPr>
        <w:t xml:space="preserve"> מהו משפט זה </w:t>
      </w:r>
      <w:r>
        <w:rPr>
          <w:rFonts w:cs="David" w:hint="cs"/>
          <w:b/>
          <w:bCs/>
          <w:sz w:val="28"/>
          <w:szCs w:val="28"/>
          <w:u w:val="single"/>
          <w:rtl/>
        </w:rPr>
        <w:t>והסבר</w:t>
      </w:r>
      <w:r>
        <w:rPr>
          <w:rFonts w:cs="David" w:hint="cs"/>
          <w:sz w:val="28"/>
          <w:szCs w:val="28"/>
          <w:rtl/>
        </w:rPr>
        <w:t xml:space="preserve"> את תפקידו בנבואה. </w:t>
      </w:r>
    </w:p>
    <w:p w:rsidR="005F52B3" w:rsidRDefault="005F52B3" w:rsidP="005F52B3">
      <w:pPr>
        <w:pStyle w:val="NormalWeb"/>
        <w:bidi/>
        <w:spacing w:before="0" w:beforeAutospacing="0" w:after="0" w:afterAutospacing="0" w:line="360" w:lineRule="auto"/>
        <w:ind w:right="-279"/>
        <w:contextualSpacing/>
        <w:jc w:val="both"/>
        <w:rPr>
          <w:rFonts w:cs="David"/>
          <w:sz w:val="28"/>
          <w:szCs w:val="28"/>
        </w:rPr>
      </w:pPr>
    </w:p>
    <w:p w:rsidR="005F52B3" w:rsidRDefault="005F52B3" w:rsidP="005F52B3">
      <w:pPr>
        <w:pStyle w:val="NormalWeb"/>
        <w:bidi/>
        <w:spacing w:before="0" w:beforeAutospacing="0" w:after="0" w:afterAutospacing="0" w:line="360" w:lineRule="auto"/>
        <w:ind w:right="-279"/>
        <w:contextualSpacing/>
        <w:jc w:val="both"/>
        <w:rPr>
          <w:rFonts w:cs="David" w:hint="cs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ג.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קרא עמוס ה' פסוקים 21- 25. </w:t>
      </w:r>
    </w:p>
    <w:p w:rsidR="005F52B3" w:rsidRDefault="005F52B3" w:rsidP="005F52B3">
      <w:pPr>
        <w:pStyle w:val="NormalWeb"/>
        <w:bidi/>
        <w:spacing w:before="0" w:beforeAutospacing="0" w:after="0" w:afterAutospacing="0" w:line="360" w:lineRule="auto"/>
        <w:ind w:left="360" w:right="-279"/>
        <w:contextualSpacing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(1) </w:t>
      </w:r>
      <w:r>
        <w:rPr>
          <w:rFonts w:cs="David" w:hint="cs"/>
          <w:b/>
          <w:bCs/>
          <w:sz w:val="28"/>
          <w:szCs w:val="28"/>
          <w:u w:val="single"/>
          <w:rtl/>
        </w:rPr>
        <w:t>מהו</w:t>
      </w:r>
      <w:r>
        <w:rPr>
          <w:rFonts w:cs="David" w:hint="cs"/>
          <w:sz w:val="28"/>
          <w:szCs w:val="28"/>
          <w:rtl/>
        </w:rPr>
        <w:t xml:space="preserve"> המסר של הנביא המוצג בפסוקים אלה? </w:t>
      </w:r>
      <w:r>
        <w:rPr>
          <w:rFonts w:cs="David" w:hint="cs"/>
          <w:b/>
          <w:bCs/>
          <w:sz w:val="28"/>
          <w:szCs w:val="28"/>
          <w:u w:val="single"/>
          <w:rtl/>
        </w:rPr>
        <w:t>הסבר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ובסס</w:t>
      </w:r>
      <w:r>
        <w:rPr>
          <w:rFonts w:cs="David" w:hint="cs"/>
          <w:sz w:val="28"/>
          <w:szCs w:val="28"/>
          <w:rtl/>
        </w:rPr>
        <w:t xml:space="preserve"> דבריך על הכתוב. </w:t>
      </w:r>
    </w:p>
    <w:p w:rsidR="005F52B3" w:rsidRDefault="005F52B3" w:rsidP="005F52B3">
      <w:pPr>
        <w:pStyle w:val="NormalWeb"/>
        <w:bidi/>
        <w:spacing w:before="0" w:beforeAutospacing="0" w:after="0" w:afterAutospacing="0" w:line="360" w:lineRule="auto"/>
        <w:ind w:left="360" w:right="-279"/>
        <w:contextualSpacing/>
        <w:jc w:val="both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(2) </w:t>
      </w:r>
      <w:r>
        <w:rPr>
          <w:rFonts w:cs="David" w:hint="cs"/>
          <w:b/>
          <w:bCs/>
          <w:sz w:val="28"/>
          <w:szCs w:val="28"/>
          <w:u w:val="single"/>
          <w:rtl/>
        </w:rPr>
        <w:t>הסבר</w:t>
      </w:r>
      <w:r>
        <w:rPr>
          <w:rFonts w:cs="David" w:hint="cs"/>
          <w:sz w:val="28"/>
          <w:szCs w:val="28"/>
          <w:rtl/>
        </w:rPr>
        <w:t xml:space="preserve"> כיצד דברי עמוס </w:t>
      </w:r>
      <w:r>
        <w:rPr>
          <w:rFonts w:cs="David" w:hint="cs"/>
          <w:sz w:val="28"/>
          <w:szCs w:val="28"/>
          <w:u w:val="single"/>
          <w:rtl/>
        </w:rPr>
        <w:t>בפסוק 25</w:t>
      </w:r>
      <w:r>
        <w:rPr>
          <w:rFonts w:cs="David" w:hint="cs"/>
          <w:sz w:val="28"/>
          <w:szCs w:val="28"/>
          <w:rtl/>
        </w:rPr>
        <w:t xml:space="preserve"> , </w:t>
      </w:r>
      <w:r>
        <w:rPr>
          <w:rFonts w:cs="David" w:hint="cs"/>
          <w:b/>
          <w:bCs/>
          <w:sz w:val="28"/>
          <w:szCs w:val="28"/>
          <w:u w:val="single"/>
          <w:rtl/>
        </w:rPr>
        <w:t>סותרים</w:t>
      </w:r>
      <w:r>
        <w:rPr>
          <w:rFonts w:cs="David" w:hint="cs"/>
          <w:sz w:val="28"/>
          <w:szCs w:val="28"/>
          <w:rtl/>
        </w:rPr>
        <w:t xml:space="preserve"> את הנאמר 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בויקרא</w:t>
      </w:r>
      <w:proofErr w:type="spellEnd"/>
      <w:r>
        <w:rPr>
          <w:rFonts w:cs="David" w:hint="cs"/>
          <w:b/>
          <w:bCs/>
          <w:sz w:val="28"/>
          <w:szCs w:val="28"/>
          <w:u w:val="single"/>
          <w:rtl/>
        </w:rPr>
        <w:t xml:space="preserve"> א' 1- 2. </w:t>
      </w:r>
      <w:r>
        <w:rPr>
          <w:rFonts w:cs="David" w:hint="cs"/>
          <w:sz w:val="28"/>
          <w:szCs w:val="28"/>
          <w:rtl/>
        </w:rPr>
        <w:t xml:space="preserve"> </w:t>
      </w:r>
    </w:p>
    <w:p w:rsidR="005F52B3" w:rsidRDefault="005F52B3" w:rsidP="005F52B3">
      <w:pPr>
        <w:pStyle w:val="NormalWeb"/>
        <w:bidi/>
        <w:spacing w:before="0" w:beforeAutospacing="0" w:after="0" w:afterAutospacing="0" w:line="360" w:lineRule="auto"/>
        <w:ind w:left="720" w:right="-279"/>
        <w:contextualSpacing/>
        <w:jc w:val="both"/>
        <w:rPr>
          <w:rFonts w:cs="David"/>
          <w:sz w:val="28"/>
          <w:szCs w:val="28"/>
        </w:rPr>
      </w:pPr>
    </w:p>
    <w:p w:rsidR="005F52B3" w:rsidRDefault="005F52B3" w:rsidP="005F52B3">
      <w:pPr>
        <w:pStyle w:val="NormalWeb"/>
        <w:bidi/>
        <w:spacing w:before="0" w:beforeAutospacing="0" w:after="0" w:afterAutospacing="0" w:line="360" w:lineRule="auto"/>
        <w:ind w:right="-279"/>
        <w:contextualSpacing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ד. </w:t>
      </w:r>
      <w:r>
        <w:rPr>
          <w:rFonts w:cs="David" w:hint="cs"/>
          <w:sz w:val="28"/>
          <w:szCs w:val="28"/>
          <w:rtl/>
        </w:rPr>
        <w:t xml:space="preserve">בנבואת עמוס נעשה שימוש באמצעים ספרותיים רבים. </w:t>
      </w:r>
      <w:r>
        <w:rPr>
          <w:rFonts w:cs="David" w:hint="cs"/>
          <w:b/>
          <w:bCs/>
          <w:sz w:val="28"/>
          <w:szCs w:val="28"/>
          <w:u w:val="single"/>
          <w:rtl/>
        </w:rPr>
        <w:t>הדגם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שלושה</w:t>
      </w:r>
      <w:r>
        <w:rPr>
          <w:rFonts w:cs="David" w:hint="cs"/>
          <w:sz w:val="28"/>
          <w:szCs w:val="28"/>
          <w:rtl/>
        </w:rPr>
        <w:t xml:space="preserve"> מבין האמצעים הספרותיים- אמנותיים המודגשים בקו: </w:t>
      </w:r>
      <w:r>
        <w:rPr>
          <w:rFonts w:cs="David" w:hint="cs"/>
          <w:sz w:val="28"/>
          <w:szCs w:val="28"/>
          <w:u w:val="single"/>
          <w:rtl/>
        </w:rPr>
        <w:t>הדרגתיות</w:t>
      </w:r>
      <w:r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u w:val="single"/>
          <w:rtl/>
        </w:rPr>
        <w:t>חזרה</w:t>
      </w:r>
      <w:r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u w:val="single"/>
          <w:rtl/>
        </w:rPr>
        <w:t>תקבולת נרדפת</w:t>
      </w:r>
      <w:r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u w:val="single"/>
          <w:rtl/>
        </w:rPr>
        <w:t>דימוי</w:t>
      </w:r>
      <w:r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u w:val="single"/>
          <w:rtl/>
        </w:rPr>
        <w:t>אירוניה</w:t>
      </w:r>
      <w:r>
        <w:rPr>
          <w:rFonts w:cs="David" w:hint="cs"/>
          <w:sz w:val="28"/>
          <w:szCs w:val="28"/>
          <w:rtl/>
        </w:rPr>
        <w:t xml:space="preserve">. </w:t>
      </w:r>
    </w:p>
    <w:p w:rsidR="005F52B3" w:rsidRDefault="005F52B3" w:rsidP="005F52B3">
      <w:pPr>
        <w:spacing w:after="0" w:line="360" w:lineRule="auto"/>
        <w:ind w:left="-279" w:right="-279"/>
        <w:contextualSpacing/>
        <w:jc w:val="both"/>
        <w:rPr>
          <w:rFonts w:ascii="David" w:eastAsia="Times New Roman" w:hAnsi="David" w:cs="David" w:hint="cs"/>
          <w:sz w:val="28"/>
          <w:szCs w:val="28"/>
          <w:rtl/>
        </w:rPr>
      </w:pPr>
    </w:p>
    <w:p w:rsidR="005F52B3" w:rsidRDefault="005F52B3" w:rsidP="005F52B3">
      <w:pPr>
        <w:spacing w:line="360" w:lineRule="auto"/>
        <w:jc w:val="both"/>
        <w:rPr>
          <w:rFonts w:ascii="David" w:hAnsi="David" w:cs="David" w:hint="cs"/>
          <w:b/>
          <w:bCs/>
          <w:sz w:val="28"/>
          <w:szCs w:val="28"/>
          <w:u w:val="single"/>
          <w:rtl/>
        </w:rPr>
      </w:pPr>
    </w:p>
    <w:p w:rsidR="0004774E" w:rsidRPr="0004774E" w:rsidRDefault="0004774E" w:rsidP="0004774E">
      <w:pPr>
        <w:rPr>
          <w:rFonts w:cs="David" w:hint="cs"/>
          <w:sz w:val="32"/>
          <w:szCs w:val="32"/>
          <w:rtl/>
          <w:lang w:val="fr-FR"/>
        </w:rPr>
      </w:pPr>
    </w:p>
    <w:sectPr w:rsidR="0004774E" w:rsidRPr="0004774E" w:rsidSect="001603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0E60"/>
    <w:multiLevelType w:val="hybridMultilevel"/>
    <w:tmpl w:val="85FA68AA"/>
    <w:lvl w:ilvl="0" w:tplc="C79E81DA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9D"/>
    <w:rsid w:val="00013C69"/>
    <w:rsid w:val="000147CB"/>
    <w:rsid w:val="00020839"/>
    <w:rsid w:val="0004774E"/>
    <w:rsid w:val="000639DE"/>
    <w:rsid w:val="00075652"/>
    <w:rsid w:val="000A1BAC"/>
    <w:rsid w:val="000A45F2"/>
    <w:rsid w:val="000A673A"/>
    <w:rsid w:val="000B567D"/>
    <w:rsid w:val="000C019F"/>
    <w:rsid w:val="000C50C0"/>
    <w:rsid w:val="000F1A21"/>
    <w:rsid w:val="000F4A6E"/>
    <w:rsid w:val="000F61B7"/>
    <w:rsid w:val="0010081E"/>
    <w:rsid w:val="00111169"/>
    <w:rsid w:val="001129A6"/>
    <w:rsid w:val="00113DAB"/>
    <w:rsid w:val="00127021"/>
    <w:rsid w:val="0013058F"/>
    <w:rsid w:val="0013313B"/>
    <w:rsid w:val="0016032D"/>
    <w:rsid w:val="0018107A"/>
    <w:rsid w:val="00182380"/>
    <w:rsid w:val="00182CD5"/>
    <w:rsid w:val="00183B09"/>
    <w:rsid w:val="001861E2"/>
    <w:rsid w:val="001B425A"/>
    <w:rsid w:val="001C10D3"/>
    <w:rsid w:val="001D4EC1"/>
    <w:rsid w:val="001D6F9A"/>
    <w:rsid w:val="001E3252"/>
    <w:rsid w:val="001F7D28"/>
    <w:rsid w:val="0021767F"/>
    <w:rsid w:val="00223956"/>
    <w:rsid w:val="0022786F"/>
    <w:rsid w:val="00244951"/>
    <w:rsid w:val="0027258F"/>
    <w:rsid w:val="002C28CE"/>
    <w:rsid w:val="002E4CC9"/>
    <w:rsid w:val="0030142A"/>
    <w:rsid w:val="0030617B"/>
    <w:rsid w:val="0031141A"/>
    <w:rsid w:val="0031361B"/>
    <w:rsid w:val="00314582"/>
    <w:rsid w:val="00314A57"/>
    <w:rsid w:val="00345666"/>
    <w:rsid w:val="0034740E"/>
    <w:rsid w:val="003C125D"/>
    <w:rsid w:val="003C5722"/>
    <w:rsid w:val="003C7E5A"/>
    <w:rsid w:val="003D128B"/>
    <w:rsid w:val="003D766C"/>
    <w:rsid w:val="003F25EC"/>
    <w:rsid w:val="004308D9"/>
    <w:rsid w:val="00433A08"/>
    <w:rsid w:val="00470ECC"/>
    <w:rsid w:val="004B227A"/>
    <w:rsid w:val="004C2ED5"/>
    <w:rsid w:val="0050075F"/>
    <w:rsid w:val="005165CA"/>
    <w:rsid w:val="00546821"/>
    <w:rsid w:val="0056321F"/>
    <w:rsid w:val="00585873"/>
    <w:rsid w:val="00591A0C"/>
    <w:rsid w:val="00591D2D"/>
    <w:rsid w:val="005B4759"/>
    <w:rsid w:val="005C608D"/>
    <w:rsid w:val="005D6FE1"/>
    <w:rsid w:val="005E79F3"/>
    <w:rsid w:val="005F52B3"/>
    <w:rsid w:val="006130F5"/>
    <w:rsid w:val="00617EDF"/>
    <w:rsid w:val="00632E61"/>
    <w:rsid w:val="0064333C"/>
    <w:rsid w:val="006C6A4B"/>
    <w:rsid w:val="006D00A7"/>
    <w:rsid w:val="006D1093"/>
    <w:rsid w:val="006D7A9D"/>
    <w:rsid w:val="006E3EE2"/>
    <w:rsid w:val="006F6DE8"/>
    <w:rsid w:val="0072606B"/>
    <w:rsid w:val="007326B6"/>
    <w:rsid w:val="007359EC"/>
    <w:rsid w:val="00764860"/>
    <w:rsid w:val="00771027"/>
    <w:rsid w:val="00780721"/>
    <w:rsid w:val="00790A0C"/>
    <w:rsid w:val="00796AE7"/>
    <w:rsid w:val="007B7D3C"/>
    <w:rsid w:val="007D267C"/>
    <w:rsid w:val="007D60EE"/>
    <w:rsid w:val="007E397E"/>
    <w:rsid w:val="007F4A27"/>
    <w:rsid w:val="00825028"/>
    <w:rsid w:val="008254DA"/>
    <w:rsid w:val="00832F44"/>
    <w:rsid w:val="00834672"/>
    <w:rsid w:val="00837080"/>
    <w:rsid w:val="008503EA"/>
    <w:rsid w:val="008557D7"/>
    <w:rsid w:val="00856457"/>
    <w:rsid w:val="00861266"/>
    <w:rsid w:val="00885F3C"/>
    <w:rsid w:val="008966F3"/>
    <w:rsid w:val="008A09C8"/>
    <w:rsid w:val="008E30F3"/>
    <w:rsid w:val="00912C0C"/>
    <w:rsid w:val="0091542E"/>
    <w:rsid w:val="00935F01"/>
    <w:rsid w:val="009444F1"/>
    <w:rsid w:val="0098357F"/>
    <w:rsid w:val="009836E3"/>
    <w:rsid w:val="009C7E2A"/>
    <w:rsid w:val="009D59C1"/>
    <w:rsid w:val="009E5D41"/>
    <w:rsid w:val="009E75F6"/>
    <w:rsid w:val="00A20886"/>
    <w:rsid w:val="00A22609"/>
    <w:rsid w:val="00A33AC6"/>
    <w:rsid w:val="00A34F02"/>
    <w:rsid w:val="00A50F21"/>
    <w:rsid w:val="00A63CE1"/>
    <w:rsid w:val="00A81EF1"/>
    <w:rsid w:val="00A87996"/>
    <w:rsid w:val="00A904FA"/>
    <w:rsid w:val="00A90C53"/>
    <w:rsid w:val="00AA64C6"/>
    <w:rsid w:val="00AC0720"/>
    <w:rsid w:val="00AE3FC2"/>
    <w:rsid w:val="00AE48AB"/>
    <w:rsid w:val="00AE51DA"/>
    <w:rsid w:val="00AE7B98"/>
    <w:rsid w:val="00B46823"/>
    <w:rsid w:val="00B65A5A"/>
    <w:rsid w:val="00BA01A2"/>
    <w:rsid w:val="00BA28F3"/>
    <w:rsid w:val="00BB5A85"/>
    <w:rsid w:val="00BC1E05"/>
    <w:rsid w:val="00BC4D1E"/>
    <w:rsid w:val="00BE1564"/>
    <w:rsid w:val="00BE6AD9"/>
    <w:rsid w:val="00C102B2"/>
    <w:rsid w:val="00C21F8B"/>
    <w:rsid w:val="00C23DE6"/>
    <w:rsid w:val="00C63502"/>
    <w:rsid w:val="00C704C3"/>
    <w:rsid w:val="00C84270"/>
    <w:rsid w:val="00C84CA7"/>
    <w:rsid w:val="00C87FFC"/>
    <w:rsid w:val="00C94F6F"/>
    <w:rsid w:val="00CC07A0"/>
    <w:rsid w:val="00CF51A3"/>
    <w:rsid w:val="00CF640B"/>
    <w:rsid w:val="00D02699"/>
    <w:rsid w:val="00D06AE7"/>
    <w:rsid w:val="00D26745"/>
    <w:rsid w:val="00D3643F"/>
    <w:rsid w:val="00D543D3"/>
    <w:rsid w:val="00D6044E"/>
    <w:rsid w:val="00D76247"/>
    <w:rsid w:val="00D85B5F"/>
    <w:rsid w:val="00D92DA0"/>
    <w:rsid w:val="00D9768A"/>
    <w:rsid w:val="00DA1398"/>
    <w:rsid w:val="00DA6FAC"/>
    <w:rsid w:val="00DB39BD"/>
    <w:rsid w:val="00DC1C6D"/>
    <w:rsid w:val="00DC443B"/>
    <w:rsid w:val="00DD3FA8"/>
    <w:rsid w:val="00DF6666"/>
    <w:rsid w:val="00E020C2"/>
    <w:rsid w:val="00E217C3"/>
    <w:rsid w:val="00E32587"/>
    <w:rsid w:val="00E32F2E"/>
    <w:rsid w:val="00E333E3"/>
    <w:rsid w:val="00E42A4C"/>
    <w:rsid w:val="00E52B37"/>
    <w:rsid w:val="00E53268"/>
    <w:rsid w:val="00E56023"/>
    <w:rsid w:val="00E62403"/>
    <w:rsid w:val="00E7397C"/>
    <w:rsid w:val="00E91218"/>
    <w:rsid w:val="00EA35B1"/>
    <w:rsid w:val="00EC4E2B"/>
    <w:rsid w:val="00F02D56"/>
    <w:rsid w:val="00F10EC3"/>
    <w:rsid w:val="00F206EC"/>
    <w:rsid w:val="00F31A66"/>
    <w:rsid w:val="00F64D2A"/>
    <w:rsid w:val="00FA0D17"/>
    <w:rsid w:val="00FB18C6"/>
    <w:rsid w:val="00FC39FC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7A9D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5F52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7A9D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5F52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2018-02-11T11:16:00Z</dcterms:created>
  <dcterms:modified xsi:type="dcterms:W3CDTF">2018-02-11T11:37:00Z</dcterms:modified>
</cp:coreProperties>
</file>